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0E0F" w:rsidRPr="005D0E0F" w:rsidRDefault="005D0E0F" w:rsidP="005D0E0F">
      <w:pPr>
        <w:spacing w:line="480" w:lineRule="auto"/>
        <w:jc w:val="both"/>
        <w:rPr>
          <w:rFonts w:ascii="Times New Roman" w:hAnsi="Times New Roman" w:cs="Times New Roman"/>
          <w:color w:val="1D1D1D"/>
          <w:sz w:val="24"/>
          <w:szCs w:val="24"/>
        </w:rPr>
      </w:pPr>
    </w:p>
    <w:p w:rsidR="005D0E0F" w:rsidRPr="005D0E0F" w:rsidRDefault="005D0E0F" w:rsidP="005D0E0F">
      <w:pPr>
        <w:spacing w:line="480" w:lineRule="auto"/>
        <w:jc w:val="both"/>
        <w:rPr>
          <w:rFonts w:ascii="Times New Roman" w:hAnsi="Times New Roman" w:cs="Times New Roman"/>
          <w:color w:val="1D1D1D"/>
          <w:sz w:val="24"/>
          <w:szCs w:val="24"/>
        </w:rPr>
      </w:pPr>
    </w:p>
    <w:p w:rsidR="005D0E0F" w:rsidRPr="005D0E0F" w:rsidRDefault="005D0E0F" w:rsidP="005D0E0F">
      <w:pPr>
        <w:spacing w:line="480" w:lineRule="auto"/>
        <w:jc w:val="both"/>
        <w:rPr>
          <w:rFonts w:ascii="Times New Roman" w:hAnsi="Times New Roman" w:cs="Times New Roman"/>
          <w:color w:val="1D1D1D"/>
          <w:sz w:val="24"/>
          <w:szCs w:val="24"/>
        </w:rPr>
      </w:pPr>
    </w:p>
    <w:p w:rsidR="005D0E0F" w:rsidRPr="005D0E0F" w:rsidRDefault="005D0E0F" w:rsidP="005D0E0F">
      <w:pPr>
        <w:spacing w:line="480" w:lineRule="auto"/>
        <w:jc w:val="both"/>
        <w:rPr>
          <w:rFonts w:ascii="Times New Roman" w:hAnsi="Times New Roman" w:cs="Times New Roman"/>
          <w:color w:val="1D1D1D"/>
          <w:sz w:val="24"/>
          <w:szCs w:val="24"/>
        </w:rPr>
      </w:pPr>
    </w:p>
    <w:p w:rsidR="005D0E0F" w:rsidRPr="005D0E0F" w:rsidRDefault="005D0E0F" w:rsidP="005D0E0F">
      <w:pPr>
        <w:spacing w:line="480" w:lineRule="auto"/>
        <w:jc w:val="center"/>
        <w:rPr>
          <w:rFonts w:ascii="Times New Roman" w:hAnsi="Times New Roman" w:cs="Times New Roman"/>
          <w:color w:val="1D1D1D"/>
          <w:sz w:val="24"/>
          <w:szCs w:val="24"/>
        </w:rPr>
      </w:pPr>
      <w:r w:rsidRPr="005D0E0F">
        <w:rPr>
          <w:rFonts w:ascii="Times New Roman" w:hAnsi="Times New Roman" w:cs="Times New Roman"/>
          <w:color w:val="1D1D1D"/>
          <w:sz w:val="24"/>
          <w:szCs w:val="24"/>
        </w:rPr>
        <w:t>Leasing or Buying Systems Project</w:t>
      </w:r>
    </w:p>
    <w:p w:rsidR="005D0E0F" w:rsidRPr="005D0E0F" w:rsidRDefault="005D0E0F" w:rsidP="005D0E0F">
      <w:pPr>
        <w:spacing w:line="480" w:lineRule="auto"/>
        <w:jc w:val="center"/>
        <w:rPr>
          <w:rFonts w:ascii="Times New Roman" w:hAnsi="Times New Roman" w:cs="Times New Roman"/>
          <w:color w:val="1D1D1D"/>
          <w:sz w:val="24"/>
          <w:szCs w:val="24"/>
        </w:rPr>
      </w:pPr>
      <w:r w:rsidRPr="005D0E0F">
        <w:rPr>
          <w:rFonts w:ascii="Times New Roman" w:hAnsi="Times New Roman" w:cs="Times New Roman"/>
          <w:color w:val="1D1D1D"/>
          <w:sz w:val="24"/>
          <w:szCs w:val="24"/>
        </w:rPr>
        <w:t>Institution</w:t>
      </w:r>
    </w:p>
    <w:p w:rsidR="005D0E0F" w:rsidRPr="005D0E0F" w:rsidRDefault="005D0E0F" w:rsidP="005D0E0F">
      <w:pPr>
        <w:spacing w:line="480" w:lineRule="auto"/>
        <w:jc w:val="center"/>
        <w:rPr>
          <w:rFonts w:ascii="Times New Roman" w:hAnsi="Times New Roman" w:cs="Times New Roman"/>
          <w:color w:val="1D1D1D"/>
          <w:sz w:val="24"/>
          <w:szCs w:val="24"/>
        </w:rPr>
      </w:pPr>
      <w:r w:rsidRPr="005D0E0F">
        <w:rPr>
          <w:rFonts w:ascii="Times New Roman" w:hAnsi="Times New Roman" w:cs="Times New Roman"/>
          <w:color w:val="1D1D1D"/>
          <w:sz w:val="24"/>
          <w:szCs w:val="24"/>
        </w:rPr>
        <w:t>Course</w:t>
      </w:r>
    </w:p>
    <w:p w:rsidR="005D0E0F" w:rsidRPr="005D0E0F" w:rsidRDefault="005D0E0F" w:rsidP="005D0E0F">
      <w:pPr>
        <w:spacing w:line="480" w:lineRule="auto"/>
        <w:jc w:val="center"/>
        <w:rPr>
          <w:rFonts w:ascii="Times New Roman" w:hAnsi="Times New Roman" w:cs="Times New Roman"/>
          <w:color w:val="1D1D1D"/>
          <w:sz w:val="24"/>
          <w:szCs w:val="24"/>
        </w:rPr>
      </w:pPr>
      <w:r w:rsidRPr="005D0E0F">
        <w:rPr>
          <w:rFonts w:ascii="Times New Roman" w:hAnsi="Times New Roman" w:cs="Times New Roman"/>
          <w:color w:val="1D1D1D"/>
          <w:sz w:val="24"/>
          <w:szCs w:val="24"/>
        </w:rPr>
        <w:t>Name</w:t>
      </w:r>
    </w:p>
    <w:p w:rsidR="005D0E0F" w:rsidRDefault="005D0E0F" w:rsidP="005D0E0F">
      <w:pPr>
        <w:spacing w:line="480" w:lineRule="auto"/>
        <w:jc w:val="both"/>
        <w:rPr>
          <w:rFonts w:ascii="Times New Roman" w:hAnsi="Times New Roman" w:cs="Times New Roman"/>
          <w:color w:val="1D1D1D"/>
          <w:sz w:val="24"/>
          <w:szCs w:val="24"/>
        </w:rPr>
      </w:pPr>
      <w:bookmarkStart w:id="0" w:name="_GoBack"/>
      <w:bookmarkEnd w:id="0"/>
    </w:p>
    <w:p w:rsidR="0043550D" w:rsidRDefault="0043550D" w:rsidP="005D0E0F">
      <w:pPr>
        <w:spacing w:line="480" w:lineRule="auto"/>
        <w:jc w:val="both"/>
        <w:rPr>
          <w:rFonts w:ascii="Times New Roman" w:hAnsi="Times New Roman" w:cs="Times New Roman"/>
          <w:color w:val="1D1D1D"/>
          <w:sz w:val="24"/>
          <w:szCs w:val="24"/>
        </w:rPr>
      </w:pPr>
    </w:p>
    <w:p w:rsidR="0043550D" w:rsidRDefault="0043550D" w:rsidP="005D0E0F">
      <w:pPr>
        <w:spacing w:line="480" w:lineRule="auto"/>
        <w:jc w:val="both"/>
        <w:rPr>
          <w:rFonts w:ascii="Times New Roman" w:hAnsi="Times New Roman" w:cs="Times New Roman"/>
          <w:color w:val="1D1D1D"/>
          <w:sz w:val="24"/>
          <w:szCs w:val="24"/>
        </w:rPr>
      </w:pPr>
    </w:p>
    <w:p w:rsidR="0043550D" w:rsidRDefault="0043550D" w:rsidP="005D0E0F">
      <w:pPr>
        <w:spacing w:line="480" w:lineRule="auto"/>
        <w:jc w:val="both"/>
        <w:rPr>
          <w:rFonts w:ascii="Times New Roman" w:hAnsi="Times New Roman" w:cs="Times New Roman"/>
          <w:color w:val="1D1D1D"/>
          <w:sz w:val="24"/>
          <w:szCs w:val="24"/>
        </w:rPr>
      </w:pPr>
    </w:p>
    <w:p w:rsidR="0043550D" w:rsidRDefault="0043550D" w:rsidP="005D0E0F">
      <w:pPr>
        <w:spacing w:line="480" w:lineRule="auto"/>
        <w:jc w:val="both"/>
        <w:rPr>
          <w:rFonts w:ascii="Times New Roman" w:hAnsi="Times New Roman" w:cs="Times New Roman"/>
          <w:color w:val="1D1D1D"/>
          <w:sz w:val="24"/>
          <w:szCs w:val="24"/>
        </w:rPr>
      </w:pPr>
    </w:p>
    <w:p w:rsidR="0043550D" w:rsidRDefault="0043550D" w:rsidP="005D0E0F">
      <w:pPr>
        <w:spacing w:line="480" w:lineRule="auto"/>
        <w:jc w:val="both"/>
        <w:rPr>
          <w:rFonts w:ascii="Times New Roman" w:hAnsi="Times New Roman" w:cs="Times New Roman"/>
          <w:color w:val="1D1D1D"/>
          <w:sz w:val="24"/>
          <w:szCs w:val="24"/>
        </w:rPr>
      </w:pPr>
    </w:p>
    <w:p w:rsidR="0043550D" w:rsidRDefault="0043550D" w:rsidP="005D0E0F">
      <w:pPr>
        <w:spacing w:line="480" w:lineRule="auto"/>
        <w:jc w:val="both"/>
        <w:rPr>
          <w:rFonts w:ascii="Times New Roman" w:hAnsi="Times New Roman" w:cs="Times New Roman"/>
          <w:color w:val="1D1D1D"/>
          <w:sz w:val="24"/>
          <w:szCs w:val="24"/>
        </w:rPr>
      </w:pPr>
    </w:p>
    <w:p w:rsidR="0043550D" w:rsidRDefault="0043550D" w:rsidP="005D0E0F">
      <w:pPr>
        <w:spacing w:line="480" w:lineRule="auto"/>
        <w:jc w:val="both"/>
        <w:rPr>
          <w:rFonts w:ascii="Times New Roman" w:hAnsi="Times New Roman" w:cs="Times New Roman"/>
          <w:color w:val="1D1D1D"/>
          <w:sz w:val="24"/>
          <w:szCs w:val="24"/>
        </w:rPr>
      </w:pPr>
    </w:p>
    <w:p w:rsidR="0043550D" w:rsidRDefault="0043550D" w:rsidP="005D0E0F">
      <w:pPr>
        <w:spacing w:line="480" w:lineRule="auto"/>
        <w:jc w:val="both"/>
        <w:rPr>
          <w:rFonts w:ascii="Times New Roman" w:hAnsi="Times New Roman" w:cs="Times New Roman"/>
          <w:color w:val="1D1D1D"/>
          <w:sz w:val="24"/>
          <w:szCs w:val="24"/>
        </w:rPr>
      </w:pPr>
    </w:p>
    <w:p w:rsidR="0043550D" w:rsidRPr="005D0E0F" w:rsidRDefault="0043550D" w:rsidP="005D0E0F">
      <w:pPr>
        <w:spacing w:line="480" w:lineRule="auto"/>
        <w:jc w:val="both"/>
        <w:rPr>
          <w:rFonts w:ascii="Times New Roman" w:hAnsi="Times New Roman" w:cs="Times New Roman"/>
          <w:color w:val="1D1D1D"/>
          <w:sz w:val="24"/>
          <w:szCs w:val="24"/>
        </w:rPr>
      </w:pPr>
    </w:p>
    <w:p w:rsidR="00725522" w:rsidRPr="00B632D9" w:rsidRDefault="009D137C" w:rsidP="00B632D9">
      <w:pPr>
        <w:spacing w:line="480" w:lineRule="auto"/>
        <w:ind w:firstLine="720"/>
        <w:jc w:val="both"/>
        <w:rPr>
          <w:rFonts w:ascii="Times New Roman" w:hAnsi="Times New Roman" w:cs="Times New Roman"/>
          <w:b/>
          <w:color w:val="1D1D1D"/>
          <w:sz w:val="24"/>
          <w:szCs w:val="24"/>
        </w:rPr>
      </w:pPr>
      <w:r w:rsidRPr="00B632D9">
        <w:rPr>
          <w:rFonts w:ascii="Times New Roman" w:hAnsi="Times New Roman" w:cs="Times New Roman"/>
          <w:b/>
          <w:color w:val="1D1D1D"/>
          <w:sz w:val="24"/>
          <w:szCs w:val="24"/>
        </w:rPr>
        <w:lastRenderedPageBreak/>
        <w:t>Sources of Funding</w:t>
      </w:r>
    </w:p>
    <w:p w:rsidR="005A2F45" w:rsidRPr="005A2F45" w:rsidRDefault="005A2F45" w:rsidP="00B812F8">
      <w:pPr>
        <w:spacing w:line="480" w:lineRule="auto"/>
        <w:ind w:firstLine="720"/>
        <w:jc w:val="both"/>
        <w:rPr>
          <w:rFonts w:ascii="Times New Roman" w:hAnsi="Times New Roman" w:cs="Times New Roman"/>
          <w:color w:val="1D1D1D"/>
          <w:sz w:val="24"/>
          <w:szCs w:val="24"/>
        </w:rPr>
      </w:pPr>
      <w:r w:rsidRPr="005A2F45">
        <w:rPr>
          <w:rFonts w:ascii="Times New Roman" w:hAnsi="Times New Roman" w:cs="Times New Roman"/>
          <w:color w:val="1D1D1D"/>
          <w:sz w:val="24"/>
          <w:szCs w:val="24"/>
        </w:rPr>
        <w:t>For a business to start, it requires financing in order to start running so that it can, later on, become profitable. There are various sources of financing where an entrepreneur can look for start-up financing. However, there is always a need first to consider how much is required for the business to start running and at what point in time will the funding be required. Additionally, the financial needs of business will vary following the kind and size of the business (Dewar, 2011). For instance, this will be a tech company, and it is normally capital intensive, requires large amounts of capital. In this case, debt and equity will be the main source of finance.</w:t>
      </w:r>
    </w:p>
    <w:p w:rsidR="005A2F45" w:rsidRPr="00B812F8" w:rsidRDefault="005A2F45" w:rsidP="00B812F8">
      <w:pPr>
        <w:spacing w:line="480" w:lineRule="auto"/>
        <w:ind w:firstLine="720"/>
        <w:jc w:val="both"/>
        <w:rPr>
          <w:rFonts w:ascii="Times New Roman" w:hAnsi="Times New Roman" w:cs="Times New Roman"/>
          <w:b/>
          <w:i/>
          <w:color w:val="1D1D1D"/>
          <w:sz w:val="24"/>
          <w:szCs w:val="24"/>
        </w:rPr>
      </w:pPr>
      <w:r w:rsidRPr="00B812F8">
        <w:rPr>
          <w:rFonts w:ascii="Times New Roman" w:hAnsi="Times New Roman" w:cs="Times New Roman"/>
          <w:b/>
          <w:i/>
          <w:color w:val="1D1D1D"/>
          <w:sz w:val="24"/>
          <w:szCs w:val="24"/>
        </w:rPr>
        <w:t>Equity Financing</w:t>
      </w:r>
    </w:p>
    <w:p w:rsidR="005A2F45" w:rsidRPr="005A2F45" w:rsidRDefault="005A2F45" w:rsidP="00B812F8">
      <w:pPr>
        <w:spacing w:line="480" w:lineRule="auto"/>
        <w:ind w:firstLine="720"/>
        <w:jc w:val="both"/>
        <w:rPr>
          <w:rFonts w:ascii="Times New Roman" w:hAnsi="Times New Roman" w:cs="Times New Roman"/>
          <w:color w:val="1D1D1D"/>
          <w:sz w:val="24"/>
          <w:szCs w:val="24"/>
        </w:rPr>
      </w:pPr>
      <w:r w:rsidRPr="005A2F45">
        <w:rPr>
          <w:rFonts w:ascii="Times New Roman" w:hAnsi="Times New Roman" w:cs="Times New Roman"/>
          <w:color w:val="1D1D1D"/>
          <w:sz w:val="24"/>
          <w:szCs w:val="24"/>
        </w:rPr>
        <w:t>Equity financing involves exchanging a percentage of ownership of a company for a financial investment within the company. The resulting ownership stake which is brought about by the equity investment allows the investors to share the profits that are earned by the company (Dewar, 2011). Some of the sources in this category will involve;</w:t>
      </w:r>
    </w:p>
    <w:p w:rsidR="005A2F45" w:rsidRPr="00142888" w:rsidRDefault="005A2F45" w:rsidP="00142888">
      <w:pPr>
        <w:spacing w:line="480" w:lineRule="auto"/>
        <w:ind w:firstLine="720"/>
        <w:jc w:val="both"/>
        <w:rPr>
          <w:rFonts w:ascii="Times New Roman" w:hAnsi="Times New Roman" w:cs="Times New Roman"/>
          <w:b/>
          <w:i/>
          <w:color w:val="1D1D1D"/>
          <w:sz w:val="24"/>
          <w:szCs w:val="24"/>
        </w:rPr>
      </w:pPr>
      <w:r w:rsidRPr="00142888">
        <w:rPr>
          <w:rFonts w:ascii="Times New Roman" w:hAnsi="Times New Roman" w:cs="Times New Roman"/>
          <w:b/>
          <w:i/>
          <w:color w:val="1D1D1D"/>
          <w:sz w:val="24"/>
          <w:szCs w:val="24"/>
        </w:rPr>
        <w:t>Personal Savings</w:t>
      </w:r>
    </w:p>
    <w:p w:rsidR="005A2F45" w:rsidRPr="005A2F45" w:rsidRDefault="005A2F45" w:rsidP="00142888">
      <w:pPr>
        <w:spacing w:line="480" w:lineRule="auto"/>
        <w:ind w:firstLine="720"/>
        <w:jc w:val="both"/>
        <w:rPr>
          <w:rFonts w:ascii="Times New Roman" w:hAnsi="Times New Roman" w:cs="Times New Roman"/>
          <w:color w:val="1D1D1D"/>
          <w:sz w:val="24"/>
          <w:szCs w:val="24"/>
        </w:rPr>
      </w:pPr>
      <w:r w:rsidRPr="005A2F45">
        <w:rPr>
          <w:rFonts w:ascii="Times New Roman" w:hAnsi="Times New Roman" w:cs="Times New Roman"/>
          <w:color w:val="1D1D1D"/>
          <w:sz w:val="24"/>
          <w:szCs w:val="24"/>
        </w:rPr>
        <w:t xml:space="preserve">The first place that an investor looks for money is his or her savings. Personal resources might entail cash value insurance policies, real estate equity loans, and profit sharing and early retirement funds. </w:t>
      </w:r>
    </w:p>
    <w:p w:rsidR="005A2F45" w:rsidRPr="004D2C4A" w:rsidRDefault="005A2F45" w:rsidP="004D2C4A">
      <w:pPr>
        <w:spacing w:line="480" w:lineRule="auto"/>
        <w:ind w:firstLine="720"/>
        <w:jc w:val="both"/>
        <w:rPr>
          <w:rFonts w:ascii="Times New Roman" w:hAnsi="Times New Roman" w:cs="Times New Roman"/>
          <w:b/>
          <w:i/>
          <w:color w:val="1D1D1D"/>
          <w:sz w:val="24"/>
          <w:szCs w:val="24"/>
        </w:rPr>
      </w:pPr>
      <w:r w:rsidRPr="004D2C4A">
        <w:rPr>
          <w:rFonts w:ascii="Times New Roman" w:hAnsi="Times New Roman" w:cs="Times New Roman"/>
          <w:b/>
          <w:i/>
          <w:color w:val="1D1D1D"/>
          <w:sz w:val="24"/>
          <w:szCs w:val="24"/>
        </w:rPr>
        <w:t>Venture Capital</w:t>
      </w:r>
    </w:p>
    <w:p w:rsidR="005A2F45" w:rsidRPr="005A2F45" w:rsidRDefault="005A2F45" w:rsidP="004D2C4A">
      <w:pPr>
        <w:spacing w:line="480" w:lineRule="auto"/>
        <w:ind w:firstLine="720"/>
        <w:jc w:val="both"/>
        <w:rPr>
          <w:rFonts w:ascii="Times New Roman" w:hAnsi="Times New Roman" w:cs="Times New Roman"/>
          <w:color w:val="1D1D1D"/>
          <w:sz w:val="24"/>
          <w:szCs w:val="24"/>
        </w:rPr>
      </w:pPr>
      <w:r w:rsidRPr="005A2F45">
        <w:rPr>
          <w:rFonts w:ascii="Times New Roman" w:hAnsi="Times New Roman" w:cs="Times New Roman"/>
          <w:color w:val="1D1D1D"/>
          <w:sz w:val="24"/>
          <w:szCs w:val="24"/>
        </w:rPr>
        <w:t xml:space="preserve">Venture capital involves financing which comes from organizations or people in the business of investing in young and privately owned companies. They normally provide finance for the new start-up company in exchange for ownership (Dewar, 2011). However, venture capitals </w:t>
      </w:r>
      <w:r w:rsidRPr="005A2F45">
        <w:rPr>
          <w:rFonts w:ascii="Times New Roman" w:hAnsi="Times New Roman" w:cs="Times New Roman"/>
          <w:color w:val="1D1D1D"/>
          <w:sz w:val="24"/>
          <w:szCs w:val="24"/>
        </w:rPr>
        <w:lastRenderedPageBreak/>
        <w:t>do not like taking part in the initial financing of a start-up business unless its management has got a proven track record. But, they prefer organizations that have already received significant funding from the pioneers.</w:t>
      </w:r>
    </w:p>
    <w:p w:rsidR="005A2F45" w:rsidRPr="00D61965" w:rsidRDefault="005A2F45" w:rsidP="00D61965">
      <w:pPr>
        <w:spacing w:line="480" w:lineRule="auto"/>
        <w:ind w:firstLine="720"/>
        <w:jc w:val="both"/>
        <w:rPr>
          <w:rFonts w:ascii="Times New Roman" w:hAnsi="Times New Roman" w:cs="Times New Roman"/>
          <w:b/>
          <w:i/>
          <w:color w:val="1D1D1D"/>
          <w:sz w:val="24"/>
          <w:szCs w:val="24"/>
        </w:rPr>
      </w:pPr>
      <w:r w:rsidRPr="00D61965">
        <w:rPr>
          <w:rFonts w:ascii="Times New Roman" w:hAnsi="Times New Roman" w:cs="Times New Roman"/>
          <w:b/>
          <w:i/>
          <w:color w:val="1D1D1D"/>
          <w:sz w:val="24"/>
          <w:szCs w:val="24"/>
        </w:rPr>
        <w:t>Equity Offerings</w:t>
      </w:r>
    </w:p>
    <w:p w:rsidR="005A2F45" w:rsidRPr="005A2F45" w:rsidRDefault="005A2F45" w:rsidP="00D61965">
      <w:pPr>
        <w:spacing w:line="480" w:lineRule="auto"/>
        <w:ind w:firstLine="720"/>
        <w:jc w:val="both"/>
        <w:rPr>
          <w:rFonts w:ascii="Times New Roman" w:hAnsi="Times New Roman" w:cs="Times New Roman"/>
          <w:color w:val="1D1D1D"/>
          <w:sz w:val="24"/>
          <w:szCs w:val="24"/>
        </w:rPr>
      </w:pPr>
      <w:r w:rsidRPr="005A2F45">
        <w:rPr>
          <w:rFonts w:ascii="Times New Roman" w:hAnsi="Times New Roman" w:cs="Times New Roman"/>
          <w:color w:val="1D1D1D"/>
          <w:sz w:val="24"/>
          <w:szCs w:val="24"/>
        </w:rPr>
        <w:t>Equity offerings involve the business selling some of its stocks directly to the public. Equity offering has the ability to raise a substantial amount of funds. The equity offerings might take different forms which include; initial public offerings and warrants.</w:t>
      </w:r>
    </w:p>
    <w:p w:rsidR="005A2F45" w:rsidRPr="00353321" w:rsidRDefault="005A2F45" w:rsidP="00353321">
      <w:pPr>
        <w:spacing w:line="480" w:lineRule="auto"/>
        <w:ind w:firstLine="720"/>
        <w:jc w:val="both"/>
        <w:rPr>
          <w:rFonts w:ascii="Times New Roman" w:hAnsi="Times New Roman" w:cs="Times New Roman"/>
          <w:b/>
          <w:i/>
          <w:color w:val="1D1D1D"/>
          <w:sz w:val="24"/>
          <w:szCs w:val="24"/>
        </w:rPr>
      </w:pPr>
      <w:r w:rsidRPr="00353321">
        <w:rPr>
          <w:rFonts w:ascii="Times New Roman" w:hAnsi="Times New Roman" w:cs="Times New Roman"/>
          <w:b/>
          <w:i/>
          <w:color w:val="1D1D1D"/>
          <w:sz w:val="24"/>
          <w:szCs w:val="24"/>
        </w:rPr>
        <w:t>Debt Financing</w:t>
      </w:r>
    </w:p>
    <w:p w:rsidR="005A2F45" w:rsidRPr="005A2F45" w:rsidRDefault="005A2F45" w:rsidP="00353321">
      <w:pPr>
        <w:spacing w:line="480" w:lineRule="auto"/>
        <w:ind w:firstLine="720"/>
        <w:jc w:val="both"/>
        <w:rPr>
          <w:rFonts w:ascii="Times New Roman" w:hAnsi="Times New Roman" w:cs="Times New Roman"/>
          <w:color w:val="1D1D1D"/>
          <w:sz w:val="24"/>
          <w:szCs w:val="24"/>
        </w:rPr>
      </w:pPr>
      <w:r w:rsidRPr="005A2F45">
        <w:rPr>
          <w:rFonts w:ascii="Times New Roman" w:hAnsi="Times New Roman" w:cs="Times New Roman"/>
          <w:color w:val="1D1D1D"/>
          <w:sz w:val="24"/>
          <w:szCs w:val="24"/>
        </w:rPr>
        <w:t xml:space="preserve">Debt financing takes the form of the investor borrowing from the creditors who in turn repay the borrowed money plus interest within a specified time. In this case, the company will only consider borrowing from commercial banks. </w:t>
      </w:r>
    </w:p>
    <w:p w:rsidR="005A2F45" w:rsidRPr="00766925" w:rsidRDefault="005A2F45" w:rsidP="00766925">
      <w:pPr>
        <w:spacing w:line="480" w:lineRule="auto"/>
        <w:ind w:firstLine="720"/>
        <w:jc w:val="both"/>
        <w:rPr>
          <w:rFonts w:ascii="Times New Roman" w:hAnsi="Times New Roman" w:cs="Times New Roman"/>
          <w:b/>
          <w:color w:val="1D1D1D"/>
          <w:sz w:val="24"/>
          <w:szCs w:val="24"/>
        </w:rPr>
      </w:pPr>
      <w:r w:rsidRPr="00766925">
        <w:rPr>
          <w:rFonts w:ascii="Times New Roman" w:hAnsi="Times New Roman" w:cs="Times New Roman"/>
          <w:b/>
          <w:color w:val="1D1D1D"/>
          <w:sz w:val="24"/>
          <w:szCs w:val="24"/>
        </w:rPr>
        <w:t>Financial risk for both the project and for the investors/financiers</w:t>
      </w:r>
    </w:p>
    <w:p w:rsidR="005A2F45" w:rsidRPr="005A2F45" w:rsidRDefault="005A2F45" w:rsidP="00766925">
      <w:pPr>
        <w:spacing w:line="480" w:lineRule="auto"/>
        <w:ind w:firstLine="720"/>
        <w:jc w:val="both"/>
        <w:rPr>
          <w:rFonts w:ascii="Times New Roman" w:hAnsi="Times New Roman" w:cs="Times New Roman"/>
          <w:color w:val="1D1D1D"/>
          <w:sz w:val="24"/>
          <w:szCs w:val="24"/>
        </w:rPr>
      </w:pPr>
      <w:r w:rsidRPr="005A2F45">
        <w:rPr>
          <w:rFonts w:ascii="Times New Roman" w:hAnsi="Times New Roman" w:cs="Times New Roman"/>
          <w:color w:val="1D1D1D"/>
          <w:sz w:val="24"/>
          <w:szCs w:val="24"/>
        </w:rPr>
        <w:t xml:space="preserve">The financial risks will be related to the businesses' use of financial leverage and debt financing. Financial risk will be considered as one of the high-priority risks in the business. Such risks take place due to market movements. Financial risks that will be involved within the project will involve market risk, credit risk, liquidity risk and operational risk (Finnerty, 2011). </w:t>
      </w:r>
    </w:p>
    <w:p w:rsidR="005A2F45" w:rsidRPr="006868CD" w:rsidRDefault="005A2F45" w:rsidP="006868CD">
      <w:pPr>
        <w:spacing w:line="480" w:lineRule="auto"/>
        <w:ind w:firstLine="720"/>
        <w:jc w:val="both"/>
        <w:rPr>
          <w:rFonts w:ascii="Times New Roman" w:hAnsi="Times New Roman" w:cs="Times New Roman"/>
          <w:b/>
          <w:i/>
          <w:color w:val="1D1D1D"/>
          <w:sz w:val="24"/>
          <w:szCs w:val="24"/>
        </w:rPr>
      </w:pPr>
      <w:r w:rsidRPr="006868CD">
        <w:rPr>
          <w:rFonts w:ascii="Times New Roman" w:hAnsi="Times New Roman" w:cs="Times New Roman"/>
          <w:b/>
          <w:i/>
          <w:color w:val="1D1D1D"/>
          <w:sz w:val="24"/>
          <w:szCs w:val="24"/>
        </w:rPr>
        <w:t>Liquidity Risk</w:t>
      </w:r>
    </w:p>
    <w:p w:rsidR="005A2F45" w:rsidRPr="005A2F45" w:rsidRDefault="005A2F45" w:rsidP="006868CD">
      <w:pPr>
        <w:spacing w:line="480" w:lineRule="auto"/>
        <w:ind w:firstLine="720"/>
        <w:jc w:val="both"/>
        <w:rPr>
          <w:rFonts w:ascii="Times New Roman" w:hAnsi="Times New Roman" w:cs="Times New Roman"/>
          <w:color w:val="1D1D1D"/>
          <w:sz w:val="24"/>
          <w:szCs w:val="24"/>
        </w:rPr>
      </w:pPr>
      <w:r w:rsidRPr="005A2F45">
        <w:rPr>
          <w:rFonts w:ascii="Times New Roman" w:hAnsi="Times New Roman" w:cs="Times New Roman"/>
          <w:color w:val="1D1D1D"/>
          <w:sz w:val="24"/>
          <w:szCs w:val="24"/>
        </w:rPr>
        <w:t xml:space="preserve">Liquidity risks arise when a business is not able to execute transactions. These risks can be classified as either asset liquidity risk or funding liquidity risk (Finnerty, 2011). Asset liquidity </w:t>
      </w:r>
      <w:r w:rsidRPr="005A2F45">
        <w:rPr>
          <w:rFonts w:ascii="Times New Roman" w:hAnsi="Times New Roman" w:cs="Times New Roman"/>
          <w:color w:val="1D1D1D"/>
          <w:sz w:val="24"/>
          <w:szCs w:val="24"/>
        </w:rPr>
        <w:lastRenderedPageBreak/>
        <w:t>risk will arise when the business will not have sufficient buyers or will have insufficient sellers against sell orders.</w:t>
      </w:r>
    </w:p>
    <w:p w:rsidR="005A2F45" w:rsidRPr="001861CB" w:rsidRDefault="005A2F45" w:rsidP="001861CB">
      <w:pPr>
        <w:spacing w:line="480" w:lineRule="auto"/>
        <w:ind w:firstLine="720"/>
        <w:jc w:val="both"/>
        <w:rPr>
          <w:rFonts w:ascii="Times New Roman" w:hAnsi="Times New Roman" w:cs="Times New Roman"/>
          <w:b/>
          <w:i/>
          <w:color w:val="1D1D1D"/>
          <w:sz w:val="24"/>
          <w:szCs w:val="24"/>
        </w:rPr>
      </w:pPr>
      <w:r w:rsidRPr="001861CB">
        <w:rPr>
          <w:rFonts w:ascii="Times New Roman" w:hAnsi="Times New Roman" w:cs="Times New Roman"/>
          <w:b/>
          <w:i/>
          <w:color w:val="1D1D1D"/>
          <w:sz w:val="24"/>
          <w:szCs w:val="24"/>
        </w:rPr>
        <w:t>Operational Risk</w:t>
      </w:r>
    </w:p>
    <w:p w:rsidR="005A2F45" w:rsidRPr="005A2F45" w:rsidRDefault="005A2F45" w:rsidP="001861CB">
      <w:pPr>
        <w:spacing w:line="480" w:lineRule="auto"/>
        <w:ind w:firstLine="720"/>
        <w:jc w:val="both"/>
        <w:rPr>
          <w:rFonts w:ascii="Times New Roman" w:hAnsi="Times New Roman" w:cs="Times New Roman"/>
          <w:color w:val="1D1D1D"/>
          <w:sz w:val="24"/>
          <w:szCs w:val="24"/>
        </w:rPr>
      </w:pPr>
      <w:r w:rsidRPr="005A2F45">
        <w:rPr>
          <w:rFonts w:ascii="Times New Roman" w:hAnsi="Times New Roman" w:cs="Times New Roman"/>
          <w:color w:val="1D1D1D"/>
          <w:sz w:val="24"/>
          <w:szCs w:val="24"/>
        </w:rPr>
        <w:t>The operational risk might arise due to failures such as mismanagement or technical failures. Operational risk can further be divided into model and fraud risks. Fraud risk arises from a lack of control, whereas model risk results from the incorrect model application.</w:t>
      </w:r>
    </w:p>
    <w:p w:rsidR="005A2F45" w:rsidRPr="001861CB" w:rsidRDefault="005A2F45" w:rsidP="001861CB">
      <w:pPr>
        <w:spacing w:line="480" w:lineRule="auto"/>
        <w:ind w:firstLine="720"/>
        <w:jc w:val="both"/>
        <w:rPr>
          <w:rFonts w:ascii="Times New Roman" w:hAnsi="Times New Roman" w:cs="Times New Roman"/>
          <w:b/>
          <w:i/>
          <w:color w:val="1D1D1D"/>
          <w:sz w:val="24"/>
          <w:szCs w:val="24"/>
        </w:rPr>
      </w:pPr>
      <w:r w:rsidRPr="001861CB">
        <w:rPr>
          <w:rFonts w:ascii="Times New Roman" w:hAnsi="Times New Roman" w:cs="Times New Roman"/>
          <w:b/>
          <w:i/>
          <w:color w:val="1D1D1D"/>
          <w:sz w:val="24"/>
          <w:szCs w:val="24"/>
        </w:rPr>
        <w:t>Credit Risk</w:t>
      </w:r>
    </w:p>
    <w:p w:rsidR="005A2F45" w:rsidRPr="005A2F45" w:rsidRDefault="005A2F45" w:rsidP="001861CB">
      <w:pPr>
        <w:spacing w:line="480" w:lineRule="auto"/>
        <w:ind w:firstLine="720"/>
        <w:jc w:val="both"/>
        <w:rPr>
          <w:rFonts w:ascii="Times New Roman" w:hAnsi="Times New Roman" w:cs="Times New Roman"/>
          <w:color w:val="1D1D1D"/>
          <w:sz w:val="24"/>
          <w:szCs w:val="24"/>
        </w:rPr>
      </w:pPr>
      <w:r w:rsidRPr="005A2F45">
        <w:rPr>
          <w:rFonts w:ascii="Times New Roman" w:hAnsi="Times New Roman" w:cs="Times New Roman"/>
          <w:color w:val="1D1D1D"/>
          <w:sz w:val="24"/>
          <w:szCs w:val="24"/>
        </w:rPr>
        <w:t>Credit risk will arise when one of the involved parties fails to meet its obligations towards the other party. In this case, there might be risk whereby one of the parties involved in the agreement fails to make the payment while the other fulfills its obligations (Finnerty, 2011). For instance, the commercial banks might finance the project and may be the project might not turn out to be making the expected profits hence the business might fail in its obligation or repaying the borrowed cash plus the interest.</w:t>
      </w:r>
    </w:p>
    <w:p w:rsidR="005A2F45" w:rsidRPr="005231DB" w:rsidRDefault="005A2F45" w:rsidP="005231DB">
      <w:pPr>
        <w:spacing w:line="480" w:lineRule="auto"/>
        <w:ind w:firstLine="720"/>
        <w:jc w:val="both"/>
        <w:rPr>
          <w:rFonts w:ascii="Times New Roman" w:hAnsi="Times New Roman" w:cs="Times New Roman"/>
          <w:b/>
          <w:i/>
          <w:color w:val="1D1D1D"/>
          <w:sz w:val="24"/>
          <w:szCs w:val="24"/>
        </w:rPr>
      </w:pPr>
      <w:r w:rsidRPr="005231DB">
        <w:rPr>
          <w:rFonts w:ascii="Times New Roman" w:hAnsi="Times New Roman" w:cs="Times New Roman"/>
          <w:b/>
          <w:i/>
          <w:color w:val="1D1D1D"/>
          <w:sz w:val="24"/>
          <w:szCs w:val="24"/>
        </w:rPr>
        <w:t>Market Risk</w:t>
      </w:r>
    </w:p>
    <w:p w:rsidR="005A2F45" w:rsidRPr="005A2F45" w:rsidRDefault="005A2F45" w:rsidP="005231DB">
      <w:pPr>
        <w:spacing w:line="480" w:lineRule="auto"/>
        <w:ind w:firstLine="720"/>
        <w:jc w:val="both"/>
        <w:rPr>
          <w:rFonts w:ascii="Times New Roman" w:hAnsi="Times New Roman" w:cs="Times New Roman"/>
          <w:color w:val="1D1D1D"/>
          <w:sz w:val="24"/>
          <w:szCs w:val="24"/>
        </w:rPr>
      </w:pPr>
      <w:r w:rsidRPr="005A2F45">
        <w:rPr>
          <w:rFonts w:ascii="Times New Roman" w:hAnsi="Times New Roman" w:cs="Times New Roman"/>
          <w:color w:val="1D1D1D"/>
          <w:sz w:val="24"/>
          <w:szCs w:val="24"/>
        </w:rPr>
        <w:t>Market risk arises from the price movement within the industry of operation. There might be unfavorable movements in stock price, interest rates and much more. Thus, if such occurrences take place, the project might not perform as expected.</w:t>
      </w:r>
    </w:p>
    <w:p w:rsidR="005A2F45" w:rsidRPr="0061407D" w:rsidRDefault="005A2F45" w:rsidP="0061407D">
      <w:pPr>
        <w:spacing w:line="480" w:lineRule="auto"/>
        <w:ind w:firstLine="720"/>
        <w:jc w:val="both"/>
        <w:rPr>
          <w:rFonts w:ascii="Times New Roman" w:hAnsi="Times New Roman" w:cs="Times New Roman"/>
          <w:b/>
          <w:color w:val="1D1D1D"/>
          <w:sz w:val="24"/>
          <w:szCs w:val="24"/>
        </w:rPr>
      </w:pPr>
      <w:r w:rsidRPr="0061407D">
        <w:rPr>
          <w:rFonts w:ascii="Times New Roman" w:hAnsi="Times New Roman" w:cs="Times New Roman"/>
          <w:b/>
          <w:color w:val="1D1D1D"/>
          <w:sz w:val="24"/>
          <w:szCs w:val="24"/>
        </w:rPr>
        <w:t xml:space="preserve"> Any potential cost overruns or opportunities for cost reductions.</w:t>
      </w:r>
    </w:p>
    <w:p w:rsidR="005A2F45" w:rsidRPr="005A2F45" w:rsidRDefault="005A2F45" w:rsidP="00F21DB5">
      <w:pPr>
        <w:spacing w:line="480" w:lineRule="auto"/>
        <w:ind w:firstLine="720"/>
        <w:jc w:val="both"/>
        <w:rPr>
          <w:rFonts w:ascii="Times New Roman" w:hAnsi="Times New Roman" w:cs="Times New Roman"/>
          <w:color w:val="1D1D1D"/>
          <w:sz w:val="24"/>
          <w:szCs w:val="24"/>
        </w:rPr>
      </w:pPr>
      <w:r w:rsidRPr="005A2F45">
        <w:rPr>
          <w:rFonts w:ascii="Times New Roman" w:hAnsi="Times New Roman" w:cs="Times New Roman"/>
          <w:color w:val="1D1D1D"/>
          <w:sz w:val="24"/>
          <w:szCs w:val="24"/>
        </w:rPr>
        <w:t xml:space="preserve">Many organizations work on tight margins. As a consequence, start-up business owners might look for ways through which the can reduce their operating costs without having sacrificed </w:t>
      </w:r>
      <w:r w:rsidRPr="005A2F45">
        <w:rPr>
          <w:rFonts w:ascii="Times New Roman" w:hAnsi="Times New Roman" w:cs="Times New Roman"/>
          <w:color w:val="1D1D1D"/>
          <w:sz w:val="24"/>
          <w:szCs w:val="24"/>
        </w:rPr>
        <w:lastRenderedPageBreak/>
        <w:t>the quality of what they offer in the market (Kendrick, 2009). The opportunities for cost reductions that might be available for the company are;</w:t>
      </w:r>
    </w:p>
    <w:p w:rsidR="005A2F45" w:rsidRPr="00F21DB5" w:rsidRDefault="005A2F45" w:rsidP="00F21DB5">
      <w:pPr>
        <w:spacing w:line="480" w:lineRule="auto"/>
        <w:ind w:firstLine="720"/>
        <w:jc w:val="both"/>
        <w:rPr>
          <w:rFonts w:ascii="Times New Roman" w:hAnsi="Times New Roman" w:cs="Times New Roman"/>
          <w:b/>
          <w:i/>
          <w:color w:val="1D1D1D"/>
          <w:sz w:val="24"/>
          <w:szCs w:val="24"/>
        </w:rPr>
      </w:pPr>
      <w:r w:rsidRPr="00F21DB5">
        <w:rPr>
          <w:rFonts w:ascii="Times New Roman" w:hAnsi="Times New Roman" w:cs="Times New Roman"/>
          <w:b/>
          <w:i/>
          <w:color w:val="1D1D1D"/>
          <w:sz w:val="24"/>
          <w:szCs w:val="24"/>
        </w:rPr>
        <w:t>Reduce Running Costs with Outsourcing</w:t>
      </w:r>
    </w:p>
    <w:p w:rsidR="005A2F45" w:rsidRPr="005A2F45" w:rsidRDefault="005A2F45" w:rsidP="00F21DB5">
      <w:pPr>
        <w:spacing w:line="480" w:lineRule="auto"/>
        <w:ind w:firstLine="720"/>
        <w:jc w:val="both"/>
        <w:rPr>
          <w:rFonts w:ascii="Times New Roman" w:hAnsi="Times New Roman" w:cs="Times New Roman"/>
          <w:color w:val="1D1D1D"/>
          <w:sz w:val="24"/>
          <w:szCs w:val="24"/>
        </w:rPr>
      </w:pPr>
      <w:r w:rsidRPr="005A2F45">
        <w:rPr>
          <w:rFonts w:ascii="Times New Roman" w:hAnsi="Times New Roman" w:cs="Times New Roman"/>
          <w:color w:val="1D1D1D"/>
          <w:sz w:val="24"/>
          <w:szCs w:val="24"/>
        </w:rPr>
        <w:t>The company will outsource some of the activities that do not core with regard to their operation. For instance, the company is going to benefit from outsourcing its advertising and marketing. Many entrepreneurs normally find out that the amount of time that they spend on advertising and marketing does not correlate to the return on investment.</w:t>
      </w:r>
    </w:p>
    <w:p w:rsidR="005A2F45" w:rsidRPr="00F21DB5" w:rsidRDefault="005A2F45" w:rsidP="00F21DB5">
      <w:pPr>
        <w:spacing w:line="480" w:lineRule="auto"/>
        <w:ind w:firstLine="720"/>
        <w:jc w:val="both"/>
        <w:rPr>
          <w:rFonts w:ascii="Times New Roman" w:hAnsi="Times New Roman" w:cs="Times New Roman"/>
          <w:b/>
          <w:i/>
          <w:color w:val="1D1D1D"/>
          <w:sz w:val="24"/>
          <w:szCs w:val="24"/>
        </w:rPr>
      </w:pPr>
      <w:r w:rsidRPr="00F21DB5">
        <w:rPr>
          <w:rFonts w:ascii="Times New Roman" w:hAnsi="Times New Roman" w:cs="Times New Roman"/>
          <w:b/>
          <w:i/>
          <w:color w:val="1D1D1D"/>
          <w:sz w:val="24"/>
          <w:szCs w:val="24"/>
        </w:rPr>
        <w:t>Telecommute to Lower Operation Costs</w:t>
      </w:r>
    </w:p>
    <w:p w:rsidR="00255A3A" w:rsidRDefault="005A2F45" w:rsidP="00F21DB5">
      <w:pPr>
        <w:spacing w:line="480" w:lineRule="auto"/>
        <w:ind w:firstLine="720"/>
        <w:jc w:val="both"/>
        <w:rPr>
          <w:rFonts w:ascii="Times New Roman" w:hAnsi="Times New Roman" w:cs="Times New Roman"/>
          <w:color w:val="1D1D1D"/>
          <w:sz w:val="24"/>
          <w:szCs w:val="24"/>
        </w:rPr>
      </w:pPr>
      <w:r w:rsidRPr="005A2F45">
        <w:rPr>
          <w:rFonts w:ascii="Times New Roman" w:hAnsi="Times New Roman" w:cs="Times New Roman"/>
          <w:color w:val="1D1D1D"/>
          <w:sz w:val="24"/>
          <w:szCs w:val="24"/>
        </w:rPr>
        <w:t>Nowadays, leasing office space, paying for the utilities and managing a physical working space such as an office can drain on the company's financial resources. Thus, the company will allow its employees to telecommute. With the rate of technological advancements experienced today, the difference between an employee being sited in an office and sitting at his or her home is almost indiscernible (Kendrick, 2009). This will save employees time and travelling expenses.</w:t>
      </w:r>
    </w:p>
    <w:p w:rsidR="004F4053" w:rsidRDefault="005B046E" w:rsidP="00F21DB5">
      <w:pPr>
        <w:spacing w:line="480" w:lineRule="auto"/>
        <w:ind w:firstLine="720"/>
        <w:jc w:val="both"/>
        <w:rPr>
          <w:rFonts w:ascii="Times New Roman" w:hAnsi="Times New Roman" w:cs="Times New Roman"/>
          <w:color w:val="1D1D1D"/>
          <w:sz w:val="24"/>
          <w:szCs w:val="24"/>
        </w:rPr>
      </w:pPr>
      <w:r>
        <w:rPr>
          <w:rFonts w:ascii="Times New Roman" w:hAnsi="Times New Roman" w:cs="Times New Roman"/>
          <w:color w:val="1D1D1D"/>
          <w:sz w:val="24"/>
          <w:szCs w:val="24"/>
        </w:rPr>
        <w:t>The funds that will be raised will be used in paying for expenses such as sa</w:t>
      </w:r>
      <w:r w:rsidR="00C61ECD">
        <w:rPr>
          <w:rFonts w:ascii="Times New Roman" w:hAnsi="Times New Roman" w:cs="Times New Roman"/>
          <w:color w:val="1D1D1D"/>
          <w:sz w:val="24"/>
          <w:szCs w:val="24"/>
        </w:rPr>
        <w:t>lary for the workers such as the web developers, software engineers, purchasing the computers, training, administration and maintenance expenses.</w:t>
      </w:r>
      <w:r w:rsidR="00A32256">
        <w:rPr>
          <w:rFonts w:ascii="Times New Roman" w:hAnsi="Times New Roman" w:cs="Times New Roman"/>
          <w:color w:val="1D1D1D"/>
          <w:sz w:val="24"/>
          <w:szCs w:val="24"/>
        </w:rPr>
        <w:t xml:space="preserve">  The expenses are </w:t>
      </w:r>
      <w:r w:rsidR="004F4053">
        <w:rPr>
          <w:rFonts w:ascii="Times New Roman" w:hAnsi="Times New Roman" w:cs="Times New Roman"/>
          <w:color w:val="1D1D1D"/>
          <w:sz w:val="24"/>
          <w:szCs w:val="24"/>
        </w:rPr>
        <w:t>analyzed</w:t>
      </w:r>
      <w:r w:rsidR="00A32256">
        <w:rPr>
          <w:rFonts w:ascii="Times New Roman" w:hAnsi="Times New Roman" w:cs="Times New Roman"/>
          <w:color w:val="1D1D1D"/>
          <w:sz w:val="24"/>
          <w:szCs w:val="24"/>
        </w:rPr>
        <w:t xml:space="preserve"> in the following table.</w:t>
      </w:r>
    </w:p>
    <w:p w:rsidR="00D75888" w:rsidRPr="005D0E0F" w:rsidRDefault="004F4053" w:rsidP="00CB5D20">
      <w:pPr>
        <w:spacing w:line="480" w:lineRule="auto"/>
        <w:ind w:firstLine="720"/>
        <w:jc w:val="both"/>
        <w:rPr>
          <w:rFonts w:ascii="Times New Roman" w:hAnsi="Times New Roman" w:cs="Times New Roman"/>
          <w:color w:val="1D1D1D"/>
          <w:sz w:val="24"/>
          <w:szCs w:val="24"/>
        </w:rPr>
      </w:pPr>
      <w:r w:rsidRPr="00915708">
        <w:rPr>
          <w:rFonts w:ascii="Times New Roman" w:eastAsia="Times New Roman" w:hAnsi="Times New Roman" w:cs="Times New Roman"/>
          <w:noProof/>
        </w:rPr>
        <w:lastRenderedPageBreak/>
        <w:drawing>
          <wp:inline distT="0" distB="0" distL="0" distR="0" wp14:anchorId="03F17CEA" wp14:editId="6251D80D">
            <wp:extent cx="5133975" cy="2695575"/>
            <wp:effectExtent l="0" t="0" r="9525" b="9525"/>
            <wp:docPr id="6" name="Picture 6" descr="page1image13248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13248102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133975" cy="2695575"/>
                    </a:xfrm>
                    <a:prstGeom prst="rect">
                      <a:avLst/>
                    </a:prstGeom>
                    <a:noFill/>
                    <a:ln>
                      <a:noFill/>
                    </a:ln>
                  </pic:spPr>
                </pic:pic>
              </a:graphicData>
            </a:graphic>
          </wp:inline>
        </w:drawing>
      </w:r>
      <w:r w:rsidR="005B046E">
        <w:rPr>
          <w:rFonts w:ascii="Times New Roman" w:hAnsi="Times New Roman" w:cs="Times New Roman"/>
          <w:color w:val="1D1D1D"/>
          <w:sz w:val="24"/>
          <w:szCs w:val="24"/>
        </w:rPr>
        <w:t xml:space="preserve"> </w:t>
      </w:r>
    </w:p>
    <w:p w:rsidR="00F65AFB" w:rsidRDefault="00F65AFB" w:rsidP="00D75888">
      <w:pPr>
        <w:spacing w:line="480" w:lineRule="auto"/>
        <w:jc w:val="center"/>
        <w:rPr>
          <w:rFonts w:ascii="Times New Roman" w:hAnsi="Times New Roman" w:cs="Times New Roman"/>
          <w:color w:val="1D1D1D"/>
          <w:sz w:val="24"/>
          <w:szCs w:val="24"/>
        </w:rPr>
      </w:pPr>
    </w:p>
    <w:p w:rsidR="00F65AFB" w:rsidRDefault="00F65AFB" w:rsidP="00D75888">
      <w:pPr>
        <w:spacing w:line="480" w:lineRule="auto"/>
        <w:jc w:val="center"/>
        <w:rPr>
          <w:rFonts w:ascii="Times New Roman" w:hAnsi="Times New Roman" w:cs="Times New Roman"/>
          <w:color w:val="1D1D1D"/>
          <w:sz w:val="24"/>
          <w:szCs w:val="24"/>
        </w:rPr>
      </w:pPr>
    </w:p>
    <w:p w:rsidR="00F65AFB" w:rsidRDefault="00F65AFB" w:rsidP="00D75888">
      <w:pPr>
        <w:spacing w:line="480" w:lineRule="auto"/>
        <w:jc w:val="center"/>
        <w:rPr>
          <w:rFonts w:ascii="Times New Roman" w:hAnsi="Times New Roman" w:cs="Times New Roman"/>
          <w:color w:val="1D1D1D"/>
          <w:sz w:val="24"/>
          <w:szCs w:val="24"/>
        </w:rPr>
      </w:pPr>
    </w:p>
    <w:p w:rsidR="00F65AFB" w:rsidRDefault="00F65AFB" w:rsidP="00D75888">
      <w:pPr>
        <w:spacing w:line="480" w:lineRule="auto"/>
        <w:jc w:val="center"/>
        <w:rPr>
          <w:rFonts w:ascii="Times New Roman" w:hAnsi="Times New Roman" w:cs="Times New Roman"/>
          <w:color w:val="1D1D1D"/>
          <w:sz w:val="24"/>
          <w:szCs w:val="24"/>
        </w:rPr>
      </w:pPr>
    </w:p>
    <w:p w:rsidR="00F65AFB" w:rsidRDefault="00F65AFB" w:rsidP="00D75888">
      <w:pPr>
        <w:spacing w:line="480" w:lineRule="auto"/>
        <w:jc w:val="center"/>
        <w:rPr>
          <w:rFonts w:ascii="Times New Roman" w:hAnsi="Times New Roman" w:cs="Times New Roman"/>
          <w:color w:val="1D1D1D"/>
          <w:sz w:val="24"/>
          <w:szCs w:val="24"/>
        </w:rPr>
      </w:pPr>
    </w:p>
    <w:p w:rsidR="00F65AFB" w:rsidRDefault="00F65AFB" w:rsidP="00D75888">
      <w:pPr>
        <w:spacing w:line="480" w:lineRule="auto"/>
        <w:jc w:val="center"/>
        <w:rPr>
          <w:rFonts w:ascii="Times New Roman" w:hAnsi="Times New Roman" w:cs="Times New Roman"/>
          <w:color w:val="1D1D1D"/>
          <w:sz w:val="24"/>
          <w:szCs w:val="24"/>
        </w:rPr>
      </w:pPr>
    </w:p>
    <w:p w:rsidR="00F65AFB" w:rsidRDefault="00F65AFB" w:rsidP="00D75888">
      <w:pPr>
        <w:spacing w:line="480" w:lineRule="auto"/>
        <w:jc w:val="center"/>
        <w:rPr>
          <w:rFonts w:ascii="Times New Roman" w:hAnsi="Times New Roman" w:cs="Times New Roman"/>
          <w:color w:val="1D1D1D"/>
          <w:sz w:val="24"/>
          <w:szCs w:val="24"/>
        </w:rPr>
      </w:pPr>
    </w:p>
    <w:p w:rsidR="00F65AFB" w:rsidRDefault="00F65AFB" w:rsidP="00D75888">
      <w:pPr>
        <w:spacing w:line="480" w:lineRule="auto"/>
        <w:jc w:val="center"/>
        <w:rPr>
          <w:rFonts w:ascii="Times New Roman" w:hAnsi="Times New Roman" w:cs="Times New Roman"/>
          <w:color w:val="1D1D1D"/>
          <w:sz w:val="24"/>
          <w:szCs w:val="24"/>
        </w:rPr>
      </w:pPr>
    </w:p>
    <w:p w:rsidR="00F65AFB" w:rsidRDefault="00F65AFB" w:rsidP="00D75888">
      <w:pPr>
        <w:spacing w:line="480" w:lineRule="auto"/>
        <w:jc w:val="center"/>
        <w:rPr>
          <w:rFonts w:ascii="Times New Roman" w:hAnsi="Times New Roman" w:cs="Times New Roman"/>
          <w:color w:val="1D1D1D"/>
          <w:sz w:val="24"/>
          <w:szCs w:val="24"/>
        </w:rPr>
      </w:pPr>
    </w:p>
    <w:p w:rsidR="00F65AFB" w:rsidRDefault="00F65AFB" w:rsidP="00D75888">
      <w:pPr>
        <w:spacing w:line="480" w:lineRule="auto"/>
        <w:jc w:val="center"/>
        <w:rPr>
          <w:rFonts w:ascii="Times New Roman" w:hAnsi="Times New Roman" w:cs="Times New Roman"/>
          <w:color w:val="1D1D1D"/>
          <w:sz w:val="24"/>
          <w:szCs w:val="24"/>
        </w:rPr>
      </w:pPr>
    </w:p>
    <w:p w:rsidR="00F65AFB" w:rsidRDefault="00F65AFB" w:rsidP="00D75888">
      <w:pPr>
        <w:spacing w:line="480" w:lineRule="auto"/>
        <w:jc w:val="center"/>
        <w:rPr>
          <w:rFonts w:ascii="Times New Roman" w:hAnsi="Times New Roman" w:cs="Times New Roman"/>
          <w:color w:val="1D1D1D"/>
          <w:sz w:val="24"/>
          <w:szCs w:val="24"/>
        </w:rPr>
      </w:pPr>
    </w:p>
    <w:p w:rsidR="001B5F4B" w:rsidRPr="005D0E0F" w:rsidRDefault="001B5F4B" w:rsidP="00D75888">
      <w:pPr>
        <w:spacing w:line="480" w:lineRule="auto"/>
        <w:jc w:val="center"/>
        <w:rPr>
          <w:rFonts w:ascii="Times New Roman" w:hAnsi="Times New Roman" w:cs="Times New Roman"/>
          <w:color w:val="1D1D1D"/>
          <w:sz w:val="24"/>
          <w:szCs w:val="24"/>
        </w:rPr>
      </w:pPr>
      <w:r w:rsidRPr="005D0E0F">
        <w:rPr>
          <w:rFonts w:ascii="Times New Roman" w:hAnsi="Times New Roman" w:cs="Times New Roman"/>
          <w:color w:val="1D1D1D"/>
          <w:sz w:val="24"/>
          <w:szCs w:val="24"/>
        </w:rPr>
        <w:lastRenderedPageBreak/>
        <w:t>References</w:t>
      </w:r>
    </w:p>
    <w:p w:rsidR="00E27AB3" w:rsidRPr="005D0E0F" w:rsidRDefault="00E27AB3" w:rsidP="00E27AB3">
      <w:pPr>
        <w:spacing w:line="480" w:lineRule="auto"/>
        <w:ind w:left="720" w:hanging="720"/>
        <w:jc w:val="both"/>
        <w:rPr>
          <w:rFonts w:ascii="Times New Roman" w:hAnsi="Times New Roman" w:cs="Times New Roman"/>
          <w:sz w:val="24"/>
          <w:szCs w:val="24"/>
        </w:rPr>
      </w:pPr>
      <w:r w:rsidRPr="005D0E0F">
        <w:rPr>
          <w:rFonts w:ascii="Times New Roman" w:hAnsi="Times New Roman" w:cs="Times New Roman"/>
          <w:sz w:val="24"/>
          <w:szCs w:val="24"/>
        </w:rPr>
        <w:t xml:space="preserve">Dewar, J. (2011). </w:t>
      </w:r>
      <w:r w:rsidRPr="005D0E0F">
        <w:rPr>
          <w:rFonts w:ascii="Times New Roman" w:hAnsi="Times New Roman" w:cs="Times New Roman"/>
          <w:i/>
          <w:iCs/>
          <w:sz w:val="24"/>
          <w:szCs w:val="24"/>
        </w:rPr>
        <w:t>International project finance: Law and practice</w:t>
      </w:r>
      <w:r w:rsidRPr="005D0E0F">
        <w:rPr>
          <w:rFonts w:ascii="Times New Roman" w:hAnsi="Times New Roman" w:cs="Times New Roman"/>
          <w:sz w:val="24"/>
          <w:szCs w:val="24"/>
        </w:rPr>
        <w:t>. Oxford: Oxford University Press.</w:t>
      </w:r>
    </w:p>
    <w:p w:rsidR="00E27AB3" w:rsidRPr="005D0E0F" w:rsidRDefault="00E27AB3" w:rsidP="00E27AB3">
      <w:pPr>
        <w:spacing w:line="480" w:lineRule="auto"/>
        <w:ind w:left="720" w:hanging="720"/>
        <w:jc w:val="both"/>
        <w:rPr>
          <w:rFonts w:ascii="Times New Roman" w:hAnsi="Times New Roman" w:cs="Times New Roman"/>
          <w:sz w:val="24"/>
          <w:szCs w:val="24"/>
        </w:rPr>
      </w:pPr>
      <w:r w:rsidRPr="005D0E0F">
        <w:rPr>
          <w:rFonts w:ascii="Times New Roman" w:hAnsi="Times New Roman" w:cs="Times New Roman"/>
          <w:sz w:val="24"/>
          <w:szCs w:val="24"/>
        </w:rPr>
        <w:t xml:space="preserve">Finnerty, J. D. (2011). </w:t>
      </w:r>
      <w:r w:rsidRPr="005D0E0F">
        <w:rPr>
          <w:rFonts w:ascii="Times New Roman" w:hAnsi="Times New Roman" w:cs="Times New Roman"/>
          <w:i/>
          <w:iCs/>
          <w:sz w:val="24"/>
          <w:szCs w:val="24"/>
        </w:rPr>
        <w:t>Project Financing: Asset-Based Financial Engineering</w:t>
      </w:r>
      <w:r w:rsidRPr="005D0E0F">
        <w:rPr>
          <w:rFonts w:ascii="Times New Roman" w:hAnsi="Times New Roman" w:cs="Times New Roman"/>
          <w:sz w:val="24"/>
          <w:szCs w:val="24"/>
        </w:rPr>
        <w:t>. New York, NY: Wiley, J.</w:t>
      </w:r>
    </w:p>
    <w:p w:rsidR="00E27AB3" w:rsidRPr="005D0E0F" w:rsidRDefault="00E27AB3" w:rsidP="00E27AB3">
      <w:pPr>
        <w:spacing w:line="480" w:lineRule="auto"/>
        <w:ind w:left="720" w:hanging="720"/>
        <w:jc w:val="both"/>
        <w:rPr>
          <w:rFonts w:ascii="Times New Roman" w:hAnsi="Times New Roman" w:cs="Times New Roman"/>
          <w:color w:val="1D1D1D"/>
          <w:sz w:val="24"/>
          <w:szCs w:val="24"/>
        </w:rPr>
      </w:pPr>
      <w:r w:rsidRPr="005D0E0F">
        <w:rPr>
          <w:rFonts w:ascii="Times New Roman" w:hAnsi="Times New Roman" w:cs="Times New Roman"/>
          <w:sz w:val="24"/>
          <w:szCs w:val="24"/>
        </w:rPr>
        <w:t xml:space="preserve">Kendrick, T. (2009). </w:t>
      </w:r>
      <w:r w:rsidRPr="005D0E0F">
        <w:rPr>
          <w:rFonts w:ascii="Times New Roman" w:hAnsi="Times New Roman" w:cs="Times New Roman"/>
          <w:i/>
          <w:iCs/>
          <w:sz w:val="24"/>
          <w:szCs w:val="24"/>
        </w:rPr>
        <w:t>Identifying and managing project risk: Essential tools for failure-proofing your project</w:t>
      </w:r>
      <w:r w:rsidRPr="005D0E0F">
        <w:rPr>
          <w:rFonts w:ascii="Times New Roman" w:hAnsi="Times New Roman" w:cs="Times New Roman"/>
          <w:sz w:val="24"/>
          <w:szCs w:val="24"/>
        </w:rPr>
        <w:t>. New York: AMACON.</w:t>
      </w:r>
    </w:p>
    <w:p w:rsidR="00F21B36" w:rsidRPr="005D0E0F" w:rsidRDefault="00F21B36" w:rsidP="005D0E0F">
      <w:pPr>
        <w:spacing w:line="480" w:lineRule="auto"/>
        <w:jc w:val="both"/>
        <w:rPr>
          <w:rFonts w:ascii="Times New Roman" w:hAnsi="Times New Roman" w:cs="Times New Roman"/>
          <w:color w:val="1D1D1D"/>
          <w:sz w:val="24"/>
          <w:szCs w:val="24"/>
        </w:rPr>
      </w:pPr>
    </w:p>
    <w:p w:rsidR="000859C9" w:rsidRPr="005D0E0F" w:rsidRDefault="000859C9" w:rsidP="005D0E0F">
      <w:pPr>
        <w:spacing w:line="480" w:lineRule="auto"/>
        <w:jc w:val="both"/>
        <w:rPr>
          <w:rFonts w:ascii="Times New Roman" w:hAnsi="Times New Roman" w:cs="Times New Roman"/>
          <w:color w:val="1D1D1D"/>
          <w:sz w:val="24"/>
          <w:szCs w:val="24"/>
        </w:rPr>
      </w:pPr>
    </w:p>
    <w:p w:rsidR="0036700E" w:rsidRPr="005D0E0F" w:rsidRDefault="0036700E" w:rsidP="005D0E0F">
      <w:pPr>
        <w:spacing w:line="480" w:lineRule="auto"/>
        <w:jc w:val="both"/>
        <w:rPr>
          <w:rFonts w:ascii="Times New Roman" w:hAnsi="Times New Roman" w:cs="Times New Roman"/>
          <w:color w:val="1D1D1D"/>
          <w:sz w:val="24"/>
          <w:szCs w:val="24"/>
        </w:rPr>
      </w:pPr>
    </w:p>
    <w:p w:rsidR="00916BB4" w:rsidRPr="005D0E0F" w:rsidRDefault="00916BB4" w:rsidP="005D0E0F">
      <w:pPr>
        <w:spacing w:line="480" w:lineRule="auto"/>
        <w:jc w:val="both"/>
        <w:rPr>
          <w:rFonts w:ascii="Times New Roman" w:hAnsi="Times New Roman" w:cs="Times New Roman"/>
          <w:color w:val="1D1D1D"/>
          <w:sz w:val="24"/>
          <w:szCs w:val="24"/>
        </w:rPr>
      </w:pPr>
    </w:p>
    <w:sectPr w:rsidR="00916BB4" w:rsidRPr="005D0E0F" w:rsidSect="00E56F2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260B" w:rsidRDefault="007E260B" w:rsidP="00E56F2C">
      <w:pPr>
        <w:spacing w:after="0" w:line="240" w:lineRule="auto"/>
      </w:pPr>
      <w:r>
        <w:separator/>
      </w:r>
    </w:p>
  </w:endnote>
  <w:endnote w:type="continuationSeparator" w:id="0">
    <w:p w:rsidR="007E260B" w:rsidRDefault="007E260B" w:rsidP="00E56F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260B" w:rsidRDefault="007E260B" w:rsidP="00E56F2C">
      <w:pPr>
        <w:spacing w:after="0" w:line="240" w:lineRule="auto"/>
      </w:pPr>
      <w:r>
        <w:separator/>
      </w:r>
    </w:p>
  </w:footnote>
  <w:footnote w:type="continuationSeparator" w:id="0">
    <w:p w:rsidR="007E260B" w:rsidRDefault="007E260B" w:rsidP="00E56F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550D" w:rsidRPr="0043550D" w:rsidRDefault="0043550D" w:rsidP="0043550D">
    <w:pPr>
      <w:pStyle w:val="Header"/>
      <w:spacing w:line="480" w:lineRule="auto"/>
      <w:jc w:val="right"/>
      <w:rPr>
        <w:rFonts w:ascii="Times New Roman" w:hAnsi="Times New Roman" w:cs="Times New Roman"/>
        <w:sz w:val="24"/>
      </w:rPr>
    </w:pPr>
    <w:r w:rsidRPr="0043550D">
      <w:rPr>
        <w:rFonts w:ascii="Times New Roman" w:hAnsi="Times New Roman" w:cs="Times New Roman"/>
        <w:sz w:val="24"/>
      </w:rPr>
      <w:t>LEASING OR BUYING SYSTEMS PROJECT</w:t>
    </w:r>
    <w:sdt>
      <w:sdtPr>
        <w:rPr>
          <w:rFonts w:ascii="Times New Roman" w:hAnsi="Times New Roman" w:cs="Times New Roman"/>
          <w:sz w:val="24"/>
        </w:rPr>
        <w:id w:val="951521804"/>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43550D">
          <w:rPr>
            <w:rFonts w:ascii="Times New Roman" w:hAnsi="Times New Roman" w:cs="Times New Roman"/>
            <w:sz w:val="24"/>
          </w:rPr>
          <w:fldChar w:fldCharType="begin"/>
        </w:r>
        <w:r w:rsidRPr="0043550D">
          <w:rPr>
            <w:rFonts w:ascii="Times New Roman" w:hAnsi="Times New Roman" w:cs="Times New Roman"/>
            <w:sz w:val="24"/>
          </w:rPr>
          <w:instrText xml:space="preserve"> PAGE   \* MERGEFORMAT </w:instrText>
        </w:r>
        <w:r w:rsidRPr="0043550D">
          <w:rPr>
            <w:rFonts w:ascii="Times New Roman" w:hAnsi="Times New Roman" w:cs="Times New Roman"/>
            <w:sz w:val="24"/>
          </w:rPr>
          <w:fldChar w:fldCharType="separate"/>
        </w:r>
        <w:r w:rsidR="00C7526B">
          <w:rPr>
            <w:rFonts w:ascii="Times New Roman" w:hAnsi="Times New Roman" w:cs="Times New Roman"/>
            <w:noProof/>
            <w:sz w:val="24"/>
          </w:rPr>
          <w:t>7</w:t>
        </w:r>
        <w:r w:rsidRPr="0043550D">
          <w:rPr>
            <w:rFonts w:ascii="Times New Roman" w:hAnsi="Times New Roman" w:cs="Times New Roman"/>
            <w:noProof/>
            <w:sz w:val="24"/>
          </w:rPr>
          <w:fldChar w:fldCharType="end"/>
        </w:r>
      </w:sdtContent>
    </w:sdt>
  </w:p>
  <w:p w:rsidR="0043550D" w:rsidRPr="0043550D" w:rsidRDefault="0043550D" w:rsidP="0043550D">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6F2C" w:rsidRPr="00E56F2C" w:rsidRDefault="00E56F2C" w:rsidP="00E56F2C">
    <w:pPr>
      <w:pStyle w:val="Header"/>
      <w:spacing w:line="480" w:lineRule="auto"/>
      <w:jc w:val="right"/>
      <w:rPr>
        <w:rFonts w:ascii="Times New Roman" w:hAnsi="Times New Roman" w:cs="Times New Roman"/>
        <w:sz w:val="24"/>
      </w:rPr>
    </w:pPr>
    <w:r w:rsidRPr="00E56F2C">
      <w:rPr>
        <w:rFonts w:ascii="Times New Roman" w:hAnsi="Times New Roman" w:cs="Times New Roman"/>
        <w:sz w:val="24"/>
      </w:rPr>
      <w:t>Running Head: LEASING OR BUYING SYSTEMS PROJECT</w:t>
    </w:r>
    <w:sdt>
      <w:sdtPr>
        <w:rPr>
          <w:rFonts w:ascii="Times New Roman" w:hAnsi="Times New Roman" w:cs="Times New Roman"/>
          <w:sz w:val="24"/>
        </w:rPr>
        <w:id w:val="575325309"/>
        <w:docPartObj>
          <w:docPartGallery w:val="Page Numbers (Top of Page)"/>
          <w:docPartUnique/>
        </w:docPartObj>
      </w:sdtPr>
      <w:sdtEndPr>
        <w:rPr>
          <w:noProof/>
        </w:rPr>
      </w:sdtEndPr>
      <w:sdtContent>
        <w:r>
          <w:rPr>
            <w:rFonts w:ascii="Times New Roman" w:hAnsi="Times New Roman" w:cs="Times New Roman"/>
            <w:sz w:val="24"/>
          </w:rPr>
          <w:tab/>
        </w:r>
        <w:r w:rsidRPr="00E56F2C">
          <w:rPr>
            <w:rFonts w:ascii="Times New Roman" w:hAnsi="Times New Roman" w:cs="Times New Roman"/>
            <w:sz w:val="24"/>
          </w:rPr>
          <w:fldChar w:fldCharType="begin"/>
        </w:r>
        <w:r w:rsidRPr="00E56F2C">
          <w:rPr>
            <w:rFonts w:ascii="Times New Roman" w:hAnsi="Times New Roman" w:cs="Times New Roman"/>
            <w:sz w:val="24"/>
          </w:rPr>
          <w:instrText xml:space="preserve"> PAGE   \* MERGEFORMAT </w:instrText>
        </w:r>
        <w:r w:rsidRPr="00E56F2C">
          <w:rPr>
            <w:rFonts w:ascii="Times New Roman" w:hAnsi="Times New Roman" w:cs="Times New Roman"/>
            <w:sz w:val="24"/>
          </w:rPr>
          <w:fldChar w:fldCharType="separate"/>
        </w:r>
        <w:r w:rsidR="00C7526B">
          <w:rPr>
            <w:rFonts w:ascii="Times New Roman" w:hAnsi="Times New Roman" w:cs="Times New Roman"/>
            <w:noProof/>
            <w:sz w:val="24"/>
          </w:rPr>
          <w:t>1</w:t>
        </w:r>
        <w:r w:rsidRPr="00E56F2C">
          <w:rPr>
            <w:rFonts w:ascii="Times New Roman" w:hAnsi="Times New Roman" w:cs="Times New Roman"/>
            <w:noProof/>
            <w:sz w:val="24"/>
          </w:rPr>
          <w:fldChar w:fldCharType="end"/>
        </w:r>
      </w:sdtContent>
    </w:sdt>
  </w:p>
  <w:p w:rsidR="00E56F2C" w:rsidRDefault="00E56F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351D"/>
    <w:rsid w:val="000029B1"/>
    <w:rsid w:val="00016207"/>
    <w:rsid w:val="000165F4"/>
    <w:rsid w:val="000859C9"/>
    <w:rsid w:val="00090B6D"/>
    <w:rsid w:val="00097455"/>
    <w:rsid w:val="000A1159"/>
    <w:rsid w:val="000A375C"/>
    <w:rsid w:val="000B46CD"/>
    <w:rsid w:val="000B5586"/>
    <w:rsid w:val="00122B29"/>
    <w:rsid w:val="00124261"/>
    <w:rsid w:val="00142888"/>
    <w:rsid w:val="00146A7C"/>
    <w:rsid w:val="001861CB"/>
    <w:rsid w:val="001B5F4B"/>
    <w:rsid w:val="001B67AF"/>
    <w:rsid w:val="001C40E8"/>
    <w:rsid w:val="001D09C0"/>
    <w:rsid w:val="001D781E"/>
    <w:rsid w:val="001F6C0F"/>
    <w:rsid w:val="0022769F"/>
    <w:rsid w:val="00236FB0"/>
    <w:rsid w:val="002506DE"/>
    <w:rsid w:val="00255A3A"/>
    <w:rsid w:val="002657DB"/>
    <w:rsid w:val="00285328"/>
    <w:rsid w:val="002E6D87"/>
    <w:rsid w:val="003517AD"/>
    <w:rsid w:val="00353321"/>
    <w:rsid w:val="0036700E"/>
    <w:rsid w:val="0039347E"/>
    <w:rsid w:val="003A677D"/>
    <w:rsid w:val="003B7A36"/>
    <w:rsid w:val="003D5278"/>
    <w:rsid w:val="003E336C"/>
    <w:rsid w:val="00401336"/>
    <w:rsid w:val="0043550D"/>
    <w:rsid w:val="00483C3A"/>
    <w:rsid w:val="004916F7"/>
    <w:rsid w:val="004B0FBE"/>
    <w:rsid w:val="004D2C4A"/>
    <w:rsid w:val="004F1724"/>
    <w:rsid w:val="004F4053"/>
    <w:rsid w:val="0050153E"/>
    <w:rsid w:val="0051334A"/>
    <w:rsid w:val="005231DB"/>
    <w:rsid w:val="00534F83"/>
    <w:rsid w:val="005363E2"/>
    <w:rsid w:val="00554E20"/>
    <w:rsid w:val="005652B8"/>
    <w:rsid w:val="00567797"/>
    <w:rsid w:val="00582C72"/>
    <w:rsid w:val="00583F84"/>
    <w:rsid w:val="005875C9"/>
    <w:rsid w:val="005A2F45"/>
    <w:rsid w:val="005B046E"/>
    <w:rsid w:val="005C533A"/>
    <w:rsid w:val="005D0E0F"/>
    <w:rsid w:val="006048FD"/>
    <w:rsid w:val="0061407D"/>
    <w:rsid w:val="006310CC"/>
    <w:rsid w:val="0064239E"/>
    <w:rsid w:val="006868CD"/>
    <w:rsid w:val="006C3D67"/>
    <w:rsid w:val="006C77F5"/>
    <w:rsid w:val="006D4A3E"/>
    <w:rsid w:val="006E2CF6"/>
    <w:rsid w:val="00700100"/>
    <w:rsid w:val="00722EB6"/>
    <w:rsid w:val="00725522"/>
    <w:rsid w:val="007576E4"/>
    <w:rsid w:val="00766925"/>
    <w:rsid w:val="0077543C"/>
    <w:rsid w:val="00787212"/>
    <w:rsid w:val="007B1D73"/>
    <w:rsid w:val="007B52FA"/>
    <w:rsid w:val="007C0FC2"/>
    <w:rsid w:val="007C3935"/>
    <w:rsid w:val="007C78C6"/>
    <w:rsid w:val="007E260B"/>
    <w:rsid w:val="007E460F"/>
    <w:rsid w:val="007F25BF"/>
    <w:rsid w:val="00811E15"/>
    <w:rsid w:val="0082446E"/>
    <w:rsid w:val="00832D6A"/>
    <w:rsid w:val="008421FA"/>
    <w:rsid w:val="00845C7C"/>
    <w:rsid w:val="008755D7"/>
    <w:rsid w:val="008756F7"/>
    <w:rsid w:val="008804F2"/>
    <w:rsid w:val="008B3017"/>
    <w:rsid w:val="008D0270"/>
    <w:rsid w:val="008D1877"/>
    <w:rsid w:val="008E1C76"/>
    <w:rsid w:val="008E6429"/>
    <w:rsid w:val="0091351D"/>
    <w:rsid w:val="009161BE"/>
    <w:rsid w:val="00916BB4"/>
    <w:rsid w:val="00933343"/>
    <w:rsid w:val="00953DCE"/>
    <w:rsid w:val="00956038"/>
    <w:rsid w:val="00960CEB"/>
    <w:rsid w:val="009713EF"/>
    <w:rsid w:val="00977DF9"/>
    <w:rsid w:val="009C5597"/>
    <w:rsid w:val="009D137C"/>
    <w:rsid w:val="00A13346"/>
    <w:rsid w:val="00A1506E"/>
    <w:rsid w:val="00A17512"/>
    <w:rsid w:val="00A20F1D"/>
    <w:rsid w:val="00A23930"/>
    <w:rsid w:val="00A261B2"/>
    <w:rsid w:val="00A32256"/>
    <w:rsid w:val="00A405D8"/>
    <w:rsid w:val="00A424B1"/>
    <w:rsid w:val="00A61A44"/>
    <w:rsid w:val="00A62D96"/>
    <w:rsid w:val="00A75B77"/>
    <w:rsid w:val="00A82EC8"/>
    <w:rsid w:val="00AA012A"/>
    <w:rsid w:val="00AA07F5"/>
    <w:rsid w:val="00AB1ADC"/>
    <w:rsid w:val="00AD15D2"/>
    <w:rsid w:val="00B04881"/>
    <w:rsid w:val="00B07CB9"/>
    <w:rsid w:val="00B344A4"/>
    <w:rsid w:val="00B632D9"/>
    <w:rsid w:val="00B812F8"/>
    <w:rsid w:val="00B9425C"/>
    <w:rsid w:val="00BC5DA5"/>
    <w:rsid w:val="00C2141B"/>
    <w:rsid w:val="00C61ECD"/>
    <w:rsid w:val="00C707DA"/>
    <w:rsid w:val="00C7526B"/>
    <w:rsid w:val="00C84419"/>
    <w:rsid w:val="00C9594B"/>
    <w:rsid w:val="00CB5D20"/>
    <w:rsid w:val="00CF37CA"/>
    <w:rsid w:val="00D06425"/>
    <w:rsid w:val="00D205E2"/>
    <w:rsid w:val="00D33434"/>
    <w:rsid w:val="00D36883"/>
    <w:rsid w:val="00D53F76"/>
    <w:rsid w:val="00D55349"/>
    <w:rsid w:val="00D5686D"/>
    <w:rsid w:val="00D61965"/>
    <w:rsid w:val="00D75888"/>
    <w:rsid w:val="00DA400D"/>
    <w:rsid w:val="00DF1933"/>
    <w:rsid w:val="00E27AB3"/>
    <w:rsid w:val="00E475FE"/>
    <w:rsid w:val="00E56F2C"/>
    <w:rsid w:val="00E623A5"/>
    <w:rsid w:val="00E904F3"/>
    <w:rsid w:val="00E90500"/>
    <w:rsid w:val="00E95BFB"/>
    <w:rsid w:val="00EC4825"/>
    <w:rsid w:val="00ED28D8"/>
    <w:rsid w:val="00F12410"/>
    <w:rsid w:val="00F21B36"/>
    <w:rsid w:val="00F21DB5"/>
    <w:rsid w:val="00F65AFB"/>
    <w:rsid w:val="00F92893"/>
    <w:rsid w:val="00FC3CD1"/>
    <w:rsid w:val="00FD71FC"/>
    <w:rsid w:val="00FE5794"/>
    <w:rsid w:val="00FF3D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86598C-AA7F-4704-B2C6-665425C44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6F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6F2C"/>
  </w:style>
  <w:style w:type="paragraph" w:styleId="Footer">
    <w:name w:val="footer"/>
    <w:basedOn w:val="Normal"/>
    <w:link w:val="FooterChar"/>
    <w:uiPriority w:val="99"/>
    <w:unhideWhenUsed/>
    <w:rsid w:val="00E56F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6F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918</Words>
  <Characters>5234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2019-03-18T10:32:00Z</dcterms:created>
  <dcterms:modified xsi:type="dcterms:W3CDTF">2019-03-18T10:32:00Z</dcterms:modified>
</cp:coreProperties>
</file>